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0F2AE" w14:textId="77777777" w:rsidR="00AC4556" w:rsidRPr="00AC4556" w:rsidRDefault="00AC4556" w:rsidP="00AC4556">
      <w:pPr>
        <w:rPr>
          <w:rFonts w:ascii="Times New Roman" w:hAnsi="Times New Roman" w:cs="Times New Roman"/>
          <w:sz w:val="28"/>
          <w:szCs w:val="28"/>
        </w:rPr>
      </w:pPr>
      <w:r w:rsidRPr="00AC4556">
        <w:rPr>
          <w:rFonts w:ascii="Times New Roman" w:hAnsi="Times New Roman" w:cs="Times New Roman"/>
          <w:sz w:val="28"/>
          <w:szCs w:val="28"/>
        </w:rPr>
        <w:t>OKSİJENLİ SU TEKNİK ŞARTNAMESİ</w:t>
      </w:r>
    </w:p>
    <w:p w14:paraId="268AE523" w14:textId="77777777" w:rsidR="00AC4556" w:rsidRDefault="00AC4556" w:rsidP="00AC4556"/>
    <w:p w14:paraId="2E2F4C5B" w14:textId="33E4F4C8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C4556">
        <w:rPr>
          <w:rFonts w:ascii="Times New Roman" w:hAnsi="Times New Roman" w:cs="Times New Roman"/>
          <w:sz w:val="24"/>
          <w:szCs w:val="24"/>
        </w:rPr>
        <w:t>Formülü %3 hidrojen peroksit içermelidir.</w:t>
      </w:r>
    </w:p>
    <w:p w14:paraId="5243401D" w14:textId="77777777" w:rsidR="00AC4556" w:rsidRPr="00AC4556" w:rsidRDefault="00AC4556" w:rsidP="00AC455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8606C59" w14:textId="718F6782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Pr="00AC4556">
        <w:rPr>
          <w:rFonts w:ascii="Times New Roman" w:hAnsi="Times New Roman" w:cs="Times New Roman"/>
          <w:sz w:val="24"/>
          <w:szCs w:val="24"/>
        </w:rPr>
        <w:t>1 litrelik ışık geçirmeyen plastik ambalajlarda olmalıdır.</w:t>
      </w:r>
    </w:p>
    <w:p w14:paraId="69176DA3" w14:textId="77777777" w:rsidR="00AC4556" w:rsidRPr="00AC4556" w:rsidRDefault="00AC4556" w:rsidP="00AC455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1C1BE72C" w14:textId="2582D1AD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C4556">
        <w:rPr>
          <w:rFonts w:ascii="Times New Roman" w:hAnsi="Times New Roman" w:cs="Times New Roman"/>
          <w:sz w:val="24"/>
          <w:szCs w:val="24"/>
        </w:rPr>
        <w:t>Yara ve yanık yüzeylerde seyreltilmeden kullanıma uygun olmalı, alerjik reaksiyon ve cilt irritasyonuna neden olmamalıdır.</w:t>
      </w:r>
    </w:p>
    <w:p w14:paraId="76F45ECB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9E4CB1" w14:textId="36A943C2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>4. Kapak açılmadan özel bir mekanizma ile içeriği dışarı çıkarılabilmeli ve istendiğinde tekrar sızdırmaz şekilde kapatılabilmelidir.</w:t>
      </w:r>
    </w:p>
    <w:p w14:paraId="15F0E3B7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6240C8" w14:textId="16994CE9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>5. Üzerinde etken madde miktarları, hacmi, kullanım şekli, imalat seri numarası, saklama koşulları, son kullanma tarihi yazılı olmalı; üzerindeki etiket kolay düşmeyecek, kalkmayacak şekilde yapıştırılmış olmalıdır.</w:t>
      </w:r>
    </w:p>
    <w:p w14:paraId="575C2633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DE9ED4" w14:textId="12283B8C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 xml:space="preserve">6. Firma, tüketilmemiş ürünü fiyat artışı gözetmeksizin son kullanma sürelerinin dolmasına 3 ay kala yüklenici firmaya bildirmek kaydı ile bu solüsyonun şartnameye uygun yeni </w:t>
      </w:r>
      <w:proofErr w:type="spellStart"/>
      <w:r w:rsidRPr="00AC4556">
        <w:rPr>
          <w:rFonts w:ascii="Times New Roman" w:hAnsi="Times New Roman" w:cs="Times New Roman"/>
          <w:sz w:val="24"/>
          <w:szCs w:val="24"/>
        </w:rPr>
        <w:t>miatlıları</w:t>
      </w:r>
      <w:proofErr w:type="spellEnd"/>
      <w:r w:rsidRPr="00AC4556">
        <w:rPr>
          <w:rFonts w:ascii="Times New Roman" w:hAnsi="Times New Roman" w:cs="Times New Roman"/>
          <w:sz w:val="24"/>
          <w:szCs w:val="24"/>
        </w:rPr>
        <w:t xml:space="preserve"> ile en geç 15 gün içinde değiştirmelidir.</w:t>
      </w:r>
    </w:p>
    <w:p w14:paraId="0F803569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8DC381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>7. Ambalaj üzerinde ebadı, imal, sterilizasyon ve son kullanma tarihi yazılı olmalı, raf ömrü üretici firma bilgileri yazılı olmalıdır.</w:t>
      </w:r>
    </w:p>
    <w:p w14:paraId="336AD929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19D9CE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>8. Teslim edilen malın son kullanma tarihi en az 2 yıl olmalıdır.</w:t>
      </w:r>
    </w:p>
    <w:p w14:paraId="11F918A1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04B3D0" w14:textId="2C81267A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>9. Teklif veren firma denemek üzere 2 şişe numuneyi hastane tıbbi sarf deposuna teslim etmelidir. Ürün denendikten sonra uygunluk verilecektir.</w:t>
      </w:r>
    </w:p>
    <w:p w14:paraId="18730942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9CF557" w14:textId="71ADEE22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>10. Verilen numune örnekleri ile teslim edilen ürün aynı olmalıdır.</w:t>
      </w:r>
    </w:p>
    <w:p w14:paraId="347CC919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351A4A" w14:textId="38958A0F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>11. Numunelerden 2 tanesi şahit numune olarak saklanacaktır.</w:t>
      </w:r>
    </w:p>
    <w:p w14:paraId="5D3E67D1" w14:textId="77777777" w:rsidR="00AC4556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03C4BB" w14:textId="3E219C16" w:rsidR="006B6CB2" w:rsidRPr="00AC4556" w:rsidRDefault="00AC4556" w:rsidP="00AC4556">
      <w:pPr>
        <w:jc w:val="both"/>
        <w:rPr>
          <w:rFonts w:ascii="Times New Roman" w:hAnsi="Times New Roman" w:cs="Times New Roman"/>
          <w:sz w:val="24"/>
          <w:szCs w:val="24"/>
        </w:rPr>
      </w:pPr>
      <w:r w:rsidRPr="00AC4556">
        <w:rPr>
          <w:rFonts w:ascii="Times New Roman" w:hAnsi="Times New Roman" w:cs="Times New Roman"/>
          <w:sz w:val="24"/>
          <w:szCs w:val="24"/>
        </w:rPr>
        <w:t>12. Ürünün UBB ve UTS kaydı olmalıdır.</w:t>
      </w:r>
    </w:p>
    <w:sectPr w:rsidR="006B6CB2" w:rsidRPr="00AC45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7196A"/>
    <w:multiLevelType w:val="hybridMultilevel"/>
    <w:tmpl w:val="AB7C30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0B13C3"/>
    <w:multiLevelType w:val="hybridMultilevel"/>
    <w:tmpl w:val="5296C3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053008">
    <w:abstractNumId w:val="0"/>
  </w:num>
  <w:num w:numId="2" w16cid:durableId="290136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76C"/>
    <w:rsid w:val="00385946"/>
    <w:rsid w:val="005A02C5"/>
    <w:rsid w:val="006B6CB2"/>
    <w:rsid w:val="006C7D13"/>
    <w:rsid w:val="009E176C"/>
    <w:rsid w:val="00AC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DC5B2"/>
  <w15:chartTrackingRefBased/>
  <w15:docId w15:val="{1E675C54-F89B-4F02-8321-82ABAED86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E1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E1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E17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E1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E17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E1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E1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E1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E1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E17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E17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E17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E176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E176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E176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E176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E176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E176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E1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E1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E1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E1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E1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E176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E176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E176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E17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E176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E17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2025-08-12T12:09:00Z</dcterms:created>
  <dcterms:modified xsi:type="dcterms:W3CDTF">2025-08-12T12:12:00Z</dcterms:modified>
</cp:coreProperties>
</file>